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7C54" w14:textId="675CED76" w:rsidR="00F1607B" w:rsidRDefault="00F1607B" w:rsidP="005A74DB">
      <w:pPr>
        <w:contextualSpacing/>
        <w:rPr>
          <w:b/>
          <w:kern w:val="0"/>
          <w:sz w:val="32"/>
          <w:szCs w:val="32"/>
          <w14:ligatures w14:val="none"/>
        </w:rPr>
      </w:pPr>
      <w:r w:rsidRPr="00F1607B">
        <w:rPr>
          <w:b/>
          <w:kern w:val="0"/>
          <w:sz w:val="32"/>
          <w:szCs w:val="32"/>
          <w14:ligatures w14:val="none"/>
        </w:rPr>
        <w:t>Eigenerklärung Zuverlässigkeit</w:t>
      </w:r>
    </w:p>
    <w:p w14:paraId="14FC5BCE" w14:textId="77777777" w:rsidR="008079EE" w:rsidRPr="008079EE" w:rsidRDefault="008079EE" w:rsidP="00F1607B">
      <w:pPr>
        <w:ind w:left="-709"/>
        <w:contextualSpacing/>
        <w:rPr>
          <w:b/>
          <w:kern w:val="0"/>
          <w14:ligatures w14:val="none"/>
        </w:rPr>
      </w:pPr>
    </w:p>
    <w:p w14:paraId="22EDA914" w14:textId="77777777" w:rsidR="008079EE" w:rsidRPr="008079EE" w:rsidRDefault="008079EE" w:rsidP="00F1607B">
      <w:pPr>
        <w:ind w:left="-709"/>
        <w:contextualSpacing/>
        <w:rPr>
          <w:bCs/>
          <w:kern w:val="0"/>
          <w14:ligatures w14:val="none"/>
        </w:rPr>
      </w:pPr>
    </w:p>
    <w:p w14:paraId="7BDD33F2" w14:textId="029F7D7A" w:rsidR="00DA36DB" w:rsidRPr="00DA36DB" w:rsidRDefault="00595BA6" w:rsidP="00973CCD">
      <w:pPr>
        <w:contextualSpacing/>
        <w:rPr>
          <w:bCs/>
          <w:sz w:val="24"/>
          <w:szCs w:val="24"/>
          <w:u w:val="single"/>
        </w:rPr>
      </w:pPr>
      <w:sdt>
        <w:sdtPr>
          <w:rPr>
            <w:bCs/>
            <w:sz w:val="24"/>
            <w:szCs w:val="24"/>
          </w:rPr>
          <w:id w:val="524675639"/>
          <w14:checkbox>
            <w14:checked w14:val="0"/>
            <w14:checkedState w14:val="2612" w14:font="MS Gothic"/>
            <w14:uncheckedState w14:val="2610" w14:font="MS Gothic"/>
          </w14:checkbox>
        </w:sdtPr>
        <w:sdtEndPr/>
        <w:sdtContent>
          <w:r w:rsidR="00C668DF">
            <w:rPr>
              <w:rFonts w:ascii="MS Gothic" w:eastAsia="MS Gothic" w:hAnsi="MS Gothic" w:hint="eastAsia"/>
              <w:bCs/>
              <w:sz w:val="24"/>
              <w:szCs w:val="24"/>
            </w:rPr>
            <w:t>☐</w:t>
          </w:r>
        </w:sdtContent>
      </w:sdt>
      <w:r w:rsidR="00DF6B5F" w:rsidRPr="00973CCD">
        <w:rPr>
          <w:bCs/>
          <w:sz w:val="24"/>
          <w:szCs w:val="24"/>
        </w:rPr>
        <w:t xml:space="preserve"> </w:t>
      </w:r>
      <w:r w:rsidR="00DF6B5F" w:rsidRPr="00DA36DB">
        <w:rPr>
          <w:bCs/>
          <w:sz w:val="24"/>
          <w:szCs w:val="24"/>
          <w:u w:val="single"/>
        </w:rPr>
        <w:t>Ich / Wir versichere(n) hiermit, dass keine Verfehlungen vorliegen, die meinen</w:t>
      </w:r>
      <w:r w:rsidR="00DA36DB">
        <w:rPr>
          <w:bCs/>
          <w:sz w:val="24"/>
          <w:szCs w:val="24"/>
          <w:u w:val="single"/>
        </w:rPr>
        <w:t xml:space="preserve"> </w:t>
      </w:r>
      <w:r w:rsidR="00DF6B5F" w:rsidRPr="00DA36DB">
        <w:rPr>
          <w:bCs/>
          <w:sz w:val="24"/>
          <w:szCs w:val="24"/>
          <w:u w:val="single"/>
        </w:rPr>
        <w:t>/ unseren Ausschluss von der Teilnahme am Wettbewerb rechtfertigen könnten oder zu einem Eintrag in das Vergaberegister führen könnten</w:t>
      </w:r>
      <w:r w:rsidR="005A74DB" w:rsidRPr="00DA36DB">
        <w:rPr>
          <w:bCs/>
          <w:sz w:val="24"/>
          <w:szCs w:val="24"/>
          <w:u w:val="single"/>
        </w:rPr>
        <w:t>.</w:t>
      </w:r>
      <w:r w:rsidR="00973CCD" w:rsidRPr="00DA36DB">
        <w:rPr>
          <w:bCs/>
          <w:sz w:val="24"/>
          <w:szCs w:val="24"/>
          <w:u w:val="single"/>
        </w:rPr>
        <w:t xml:space="preserve"> </w:t>
      </w:r>
      <w:r w:rsidR="00DA36DB" w:rsidRPr="00DA36DB">
        <w:rPr>
          <w:bCs/>
          <w:sz w:val="24"/>
          <w:szCs w:val="24"/>
          <w:u w:val="single"/>
        </w:rPr>
        <w:t>Mir ist bekannt, dass die Unrichtigkeit nachstehender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14:paraId="3CF2FC69" w14:textId="77777777" w:rsidR="00973CCD" w:rsidRDefault="00973CCD" w:rsidP="00973CCD">
      <w:pPr>
        <w:contextualSpacing/>
        <w:rPr>
          <w:bCs/>
        </w:rPr>
      </w:pPr>
    </w:p>
    <w:p w14:paraId="2946A3DE" w14:textId="4582B290" w:rsidR="005A74DB" w:rsidRPr="00973CCD" w:rsidRDefault="005A74DB" w:rsidP="00973CCD">
      <w:pPr>
        <w:contextualSpacing/>
        <w:rPr>
          <w:bCs/>
          <w:sz w:val="28"/>
          <w:szCs w:val="28"/>
        </w:rPr>
      </w:pPr>
      <w:r w:rsidRPr="00973CCD">
        <w:t>Verfehlungen, die in der Regel zum Ausschluss des Bewerbers oder Bieters von der Teilnahme am Vergabeverfahren führen, sind - unabhängig von der Beteiligungsform, bei Unternehmen auch unabhängig von der Funktion des Täters oder Beteiligten - insbesondere</w:t>
      </w:r>
      <w:r w:rsidRPr="00DF6B5F">
        <w:t>:</w:t>
      </w:r>
    </w:p>
    <w:p w14:paraId="79D78AFE" w14:textId="05539D4A" w:rsidR="005A74DB" w:rsidRDefault="005A74DB" w:rsidP="00973CCD">
      <w:pPr>
        <w:pStyle w:val="Funotentext"/>
        <w:spacing w:before="240"/>
        <w:ind w:left="284"/>
        <w:rPr>
          <w:sz w:val="22"/>
          <w:szCs w:val="22"/>
        </w:rPr>
      </w:pPr>
      <w:r w:rsidRPr="00DF6B5F">
        <w:rPr>
          <w:sz w:val="22"/>
          <w:szCs w:val="22"/>
        </w:rPr>
        <w:t>- Straftaten, die im Geschäftsverkehr oder in Bezug auf diesen begangen worden sind, u. a. Betrug,</w:t>
      </w:r>
      <w:r>
        <w:rPr>
          <w:sz w:val="22"/>
          <w:szCs w:val="22"/>
        </w:rPr>
        <w:t xml:space="preserve"> </w:t>
      </w:r>
      <w:r w:rsidRPr="00DF6B5F">
        <w:rPr>
          <w:sz w:val="22"/>
          <w:szCs w:val="22"/>
        </w:rPr>
        <w:t>Subventionsbetrug, Untreue, Urkundenfälschung, wettbewerbsbeschränkende Absprachen bei Vergabeverfahren, Bestechung - auch im geschäftlichen Verkehr- oder Vorteilsgewährung,</w:t>
      </w:r>
    </w:p>
    <w:p w14:paraId="5CFC2284" w14:textId="77777777" w:rsidR="005A74DB" w:rsidRPr="00DF6B5F" w:rsidRDefault="005A74DB" w:rsidP="00973CCD">
      <w:pPr>
        <w:pStyle w:val="Funotentext"/>
        <w:spacing w:before="240"/>
        <w:ind w:left="284"/>
        <w:rPr>
          <w:sz w:val="22"/>
          <w:szCs w:val="22"/>
        </w:rPr>
      </w:pPr>
      <w:r w:rsidRPr="00DF6B5F">
        <w:rPr>
          <w:sz w:val="22"/>
          <w:szCs w:val="22"/>
        </w:rPr>
        <w:t>- 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391E5B1" w14:textId="77777777" w:rsidR="005A74DB" w:rsidRDefault="005A74DB" w:rsidP="00973CCD">
      <w:pPr>
        <w:pStyle w:val="Funotentext"/>
        <w:spacing w:before="240"/>
        <w:rPr>
          <w:sz w:val="22"/>
          <w:szCs w:val="22"/>
        </w:rPr>
      </w:pPr>
      <w:r w:rsidRPr="00DF6B5F">
        <w:rPr>
          <w:sz w:val="22"/>
          <w:szCs w:val="22"/>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018E091D" w14:textId="64C851DC" w:rsidR="005A74DB" w:rsidRDefault="005A74DB" w:rsidP="00973CCD">
      <w:pPr>
        <w:pStyle w:val="Funotentext"/>
        <w:spacing w:before="240"/>
        <w:rPr>
          <w:sz w:val="22"/>
          <w:szCs w:val="22"/>
        </w:rPr>
      </w:pPr>
      <w:r w:rsidRPr="00BA239F">
        <w:rPr>
          <w:sz w:val="22"/>
          <w:szCs w:val="22"/>
        </w:rPr>
        <w:t>Ein Eintrag</w:t>
      </w:r>
      <w:r w:rsidR="00973CCD">
        <w:rPr>
          <w:rStyle w:val="Funotenzeichen"/>
          <w:sz w:val="22"/>
          <w:szCs w:val="22"/>
        </w:rPr>
        <w:footnoteReference w:id="1"/>
      </w:r>
      <w:r w:rsidRPr="00BA239F">
        <w:rPr>
          <w:sz w:val="22"/>
          <w:szCs w:val="22"/>
        </w:rPr>
        <w:t xml:space="preserve">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1004B9E" w14:textId="77777777" w:rsidR="005A74DB" w:rsidRPr="00BA239F" w:rsidRDefault="005A74DB" w:rsidP="00973CCD">
      <w:pPr>
        <w:pStyle w:val="Funotentext"/>
        <w:spacing w:before="240"/>
        <w:ind w:left="284"/>
        <w:rPr>
          <w:sz w:val="22"/>
          <w:szCs w:val="22"/>
        </w:rPr>
      </w:pPr>
      <w:r w:rsidRPr="00BA239F">
        <w:rPr>
          <w:sz w:val="22"/>
          <w:szCs w:val="22"/>
        </w:rPr>
        <w:t xml:space="preserve">1. Straftaten nach §§ 331-335 (Vorteilsannahme, Bestechlichkeit, Vorteilsgewährung, Bestechung), § 261 (Geldwäsche; Verschleierung unrechtmäßig erlangter Vermögenswerte), § 263 (Betrug), § 264 (Subventionsbetrug), § 265b (Kreditbetrug), 266 </w:t>
      </w:r>
      <w:r w:rsidRPr="00BA239F">
        <w:rPr>
          <w:sz w:val="22"/>
          <w:szCs w:val="22"/>
        </w:rPr>
        <w:lastRenderedPageBreak/>
        <w:t>(Untreue), § 266a (Vorenthalten und Veruntreuen von Arbeitsentgelt), § 298 (Wettbewerbsbeschränkende Absprachen bei Ausschreibungen), § 299 (Bestechlichkeit und Bestechung im geschäftlichen Verkehr), § 108e (Abgeordnetenbestechung) StGB und nach § 370 der Abgabeordnung,</w:t>
      </w:r>
    </w:p>
    <w:p w14:paraId="4361BB13" w14:textId="77777777" w:rsidR="005A74DB" w:rsidRPr="00BA239F" w:rsidRDefault="005A74DB" w:rsidP="00973CCD">
      <w:pPr>
        <w:pStyle w:val="Funotentext"/>
        <w:spacing w:before="240"/>
        <w:ind w:left="284"/>
        <w:rPr>
          <w:sz w:val="22"/>
          <w:szCs w:val="22"/>
        </w:rPr>
      </w:pPr>
      <w:r w:rsidRPr="00BA239F">
        <w:rPr>
          <w:sz w:val="22"/>
          <w:szCs w:val="22"/>
        </w:rPr>
        <w:t>2. Straftaten nach §§ 19, 20, 20a, und 22 des Gesetzes über die Kontrolle von Kriegswaffen,</w:t>
      </w:r>
    </w:p>
    <w:p w14:paraId="1752A292" w14:textId="77777777" w:rsidR="005A74DB" w:rsidRPr="00BA239F" w:rsidRDefault="005A74DB" w:rsidP="005A74DB">
      <w:pPr>
        <w:pStyle w:val="Funotentext"/>
        <w:spacing w:before="240"/>
        <w:ind w:left="284"/>
        <w:rPr>
          <w:sz w:val="22"/>
          <w:szCs w:val="22"/>
        </w:rPr>
      </w:pPr>
      <w:r w:rsidRPr="00BA239F">
        <w:rPr>
          <w:sz w:val="22"/>
          <w:szCs w:val="22"/>
        </w:rPr>
        <w:t>3. Verstöße gegen § 81 des Gesetzes gegen Wettbewerbsbeschränkungen (GWB),</w:t>
      </w:r>
    </w:p>
    <w:p w14:paraId="58336646" w14:textId="77777777" w:rsidR="005A74DB" w:rsidRPr="00BA239F" w:rsidRDefault="005A74DB" w:rsidP="005A74DB">
      <w:pPr>
        <w:pStyle w:val="Funotentext"/>
        <w:spacing w:before="240"/>
        <w:ind w:left="284"/>
        <w:rPr>
          <w:sz w:val="22"/>
          <w:szCs w:val="22"/>
        </w:rPr>
      </w:pPr>
      <w:r w:rsidRPr="00BA239F">
        <w:rPr>
          <w:sz w:val="22"/>
          <w:szCs w:val="22"/>
        </w:rPr>
        <w:t>4. Verstöße gegen § 16 des Arbeitnehmerüberlassungsgesetzes,</w:t>
      </w:r>
    </w:p>
    <w:p w14:paraId="46E75DDA" w14:textId="77777777" w:rsidR="005A74DB" w:rsidRPr="00BA239F" w:rsidRDefault="005A74DB" w:rsidP="005A74DB">
      <w:pPr>
        <w:pStyle w:val="Funotentext"/>
        <w:spacing w:before="240"/>
        <w:ind w:left="284"/>
        <w:rPr>
          <w:sz w:val="22"/>
          <w:szCs w:val="22"/>
        </w:rPr>
      </w:pPr>
      <w:r w:rsidRPr="00BA239F">
        <w:rPr>
          <w:sz w:val="22"/>
          <w:szCs w:val="22"/>
        </w:rPr>
        <w:t>5. Verstöße, die zu einem Ausschluss nach § 21 des Gesetzes zur Bekämpfung der Schwarzarbeit und illegalen Beschäftigung (Schwarzarbeitsbekämpfungsgesetz – SchwarzArbG) oder nach § 21 Arbeitnehmer-Entsendegesetz führen können oder geführt haben,</w:t>
      </w:r>
    </w:p>
    <w:p w14:paraId="32504285" w14:textId="153616F8" w:rsidR="00B71A58" w:rsidRDefault="005A74DB" w:rsidP="00935138">
      <w:pPr>
        <w:pStyle w:val="Funotentext"/>
        <w:spacing w:before="240"/>
        <w:ind w:left="284"/>
        <w:rPr>
          <w:sz w:val="22"/>
          <w:szCs w:val="22"/>
        </w:rPr>
      </w:pPr>
      <w:r w:rsidRPr="00BA239F">
        <w:rPr>
          <w:sz w:val="22"/>
          <w:szCs w:val="22"/>
        </w:rPr>
        <w:t>6. Verstöße, die zu einem Ausschluss nach §13 Absatz 1 und 2 oder § 16 Absatz 1 Tariftreue- und</w:t>
      </w:r>
      <w:r>
        <w:rPr>
          <w:sz w:val="22"/>
          <w:szCs w:val="22"/>
        </w:rPr>
        <w:t xml:space="preserve"> </w:t>
      </w:r>
      <w:r w:rsidRPr="00BA239F">
        <w:rPr>
          <w:sz w:val="22"/>
          <w:szCs w:val="22"/>
        </w:rPr>
        <w:t>Vergabegesetz Nordrhein-Westfalen führen, von Bedeutung, insbesondere in Bezug auf die Art und Weise der Begehung oder den Umfang des materiellen oder immateriellen Schadens, begangen worden</w:t>
      </w:r>
      <w:r>
        <w:rPr>
          <w:sz w:val="22"/>
          <w:szCs w:val="22"/>
        </w:rPr>
        <w:t xml:space="preserve"> </w:t>
      </w:r>
      <w:r w:rsidRPr="00BA239F">
        <w:rPr>
          <w:sz w:val="22"/>
          <w:szCs w:val="22"/>
        </w:rPr>
        <w:t>sind.</w:t>
      </w:r>
    </w:p>
    <w:p w14:paraId="36FF6315" w14:textId="384ADAF6" w:rsidR="00CE4F31" w:rsidRPr="00DA36DB" w:rsidRDefault="00DA36DB" w:rsidP="00DA36DB">
      <w:pPr>
        <w:pStyle w:val="Funotentext"/>
        <w:spacing w:before="240"/>
        <w:rPr>
          <w:bCs/>
          <w:sz w:val="24"/>
          <w:szCs w:val="24"/>
          <w:u w:val="single"/>
        </w:rPr>
      </w:pPr>
      <w:r w:rsidRPr="00DA36DB">
        <w:rPr>
          <w:bCs/>
          <w:sz w:val="24"/>
          <w:szCs w:val="24"/>
          <w:u w:val="single"/>
        </w:rPr>
        <w:t>Die Stadt Schleiden behält sich vor, bei Bedarf diese Erklärung auch von Nachunternehmer</w:t>
      </w:r>
      <w:r w:rsidR="00D54400">
        <w:rPr>
          <w:bCs/>
          <w:sz w:val="24"/>
          <w:szCs w:val="24"/>
          <w:u w:val="single"/>
        </w:rPr>
        <w:t>n</w:t>
      </w:r>
      <w:r w:rsidRPr="00DA36DB">
        <w:rPr>
          <w:bCs/>
          <w:sz w:val="24"/>
          <w:szCs w:val="24"/>
          <w:u w:val="single"/>
        </w:rPr>
        <w:t xml:space="preserve"> zu fordern.</w:t>
      </w:r>
    </w:p>
    <w:p w14:paraId="68753EFA" w14:textId="79D49154" w:rsidR="00CE4F31" w:rsidRPr="00963893" w:rsidRDefault="005547C6" w:rsidP="00935138">
      <w:pPr>
        <w:pStyle w:val="Funotentext"/>
        <w:spacing w:before="240"/>
        <w:ind w:left="284"/>
        <w:rPr>
          <w:color w:val="FF0000"/>
          <w:sz w:val="24"/>
          <w:szCs w:val="24"/>
        </w:rPr>
      </w:pPr>
      <w:r>
        <w:rPr>
          <w:noProof/>
          <w:color w:val="FF0000"/>
          <w:sz w:val="24"/>
          <w:szCs w:val="24"/>
        </w:rPr>
        <mc:AlternateContent>
          <mc:Choice Requires="wpi">
            <w:drawing>
              <wp:anchor distT="0" distB="0" distL="114300" distR="114300" simplePos="0" relativeHeight="251665408" behindDoc="0" locked="0" layoutInCell="1" allowOverlap="1" wp14:anchorId="355E6B23" wp14:editId="0B9E9FB8">
                <wp:simplePos x="0" y="0"/>
                <wp:positionH relativeFrom="column">
                  <wp:posOffset>-22860</wp:posOffset>
                </wp:positionH>
                <wp:positionV relativeFrom="paragraph">
                  <wp:posOffset>358775</wp:posOffset>
                </wp:positionV>
                <wp:extent cx="635" cy="1009650"/>
                <wp:effectExtent l="57150" t="57150" r="56515" b="57150"/>
                <wp:wrapNone/>
                <wp:docPr id="834299898" name="Freihand 17"/>
                <wp:cNvGraphicFramePr/>
                <a:graphic xmlns:a="http://schemas.openxmlformats.org/drawingml/2006/main">
                  <a:graphicData uri="http://schemas.microsoft.com/office/word/2010/wordprocessingInk">
                    <w14:contentPart bwMode="auto" r:id="rId7">
                      <w14:nvContentPartPr>
                        <w14:cNvContentPartPr/>
                      </w14:nvContentPartPr>
                      <w14:xfrm>
                        <a:off x="0" y="0"/>
                        <a:ext cx="635" cy="1009650"/>
                      </w14:xfrm>
                    </w14:contentPart>
                  </a:graphicData>
                </a:graphic>
                <wp14:sizeRelH relativeFrom="margin">
                  <wp14:pctWidth>0</wp14:pctWidth>
                </wp14:sizeRelH>
                <wp14:sizeRelV relativeFrom="margin">
                  <wp14:pctHeight>0</wp14:pctHeight>
                </wp14:sizeRelV>
              </wp:anchor>
            </w:drawing>
          </mc:Choice>
          <mc:Fallback>
            <w:pict>
              <v:shapetype w14:anchorId="6B2E0A7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17" o:spid="_x0000_s1026" type="#_x0000_t75" style="position:absolute;margin-left:-3.05pt;margin-top:27.55pt;width:2.5pt;height:8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">
                <v:imagedata r:id="rId8" o:title=""/>
              </v:shape>
            </w:pict>
          </mc:Fallback>
        </mc:AlternateContent>
      </w:r>
      <w:r w:rsidR="00486D38">
        <w:rPr>
          <w:noProof/>
          <w:color w:val="FF0000"/>
          <w:sz w:val="24"/>
          <w:szCs w:val="24"/>
        </w:rPr>
        <mc:AlternateContent>
          <mc:Choice Requires="wpi">
            <w:drawing>
              <wp:anchor distT="0" distB="0" distL="114300" distR="114300" simplePos="0" relativeHeight="251660288" behindDoc="0" locked="0" layoutInCell="1" allowOverlap="1" wp14:anchorId="452798FF" wp14:editId="751C5D55">
                <wp:simplePos x="0" y="0"/>
                <wp:positionH relativeFrom="column">
                  <wp:posOffset>-23495</wp:posOffset>
                </wp:positionH>
                <wp:positionV relativeFrom="paragraph">
                  <wp:posOffset>339725</wp:posOffset>
                </wp:positionV>
                <wp:extent cx="5753100" cy="635"/>
                <wp:effectExtent l="57150" t="57150" r="57150" b="56515"/>
                <wp:wrapNone/>
                <wp:docPr id="11898059" name="Freihand 2"/>
                <wp:cNvGraphicFramePr/>
                <a:graphic xmlns:a="http://schemas.openxmlformats.org/drawingml/2006/main">
                  <a:graphicData uri="http://schemas.microsoft.com/office/word/2010/wordprocessingInk">
                    <w14:contentPart bwMode="auto" r:id="rId9">
                      <w14:nvContentPartPr>
                        <w14:cNvContentPartPr/>
                      </w14:nvContentPartPr>
                      <w14:xfrm>
                        <a:off x="0" y="0"/>
                        <a:ext cx="5753100" cy="635"/>
                      </w14:xfrm>
                    </w14:contentPart>
                  </a:graphicData>
                </a:graphic>
                <wp14:sizeRelH relativeFrom="margin">
                  <wp14:pctWidth>0</wp14:pctWidth>
                </wp14:sizeRelH>
                <wp14:sizeRelV relativeFrom="margin">
                  <wp14:pctHeight>0</wp14:pctHeight>
                </wp14:sizeRelV>
              </wp:anchor>
            </w:drawing>
          </mc:Choice>
          <mc:Fallback>
            <w:pict>
              <v:shape w14:anchorId="69624DBB" id="Freihand 2" o:spid="_x0000_s1026" type="#_x0000_t75" style="position:absolute;margin-left:-2.55pt;margin-top:25.5pt;width:454.4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">
                <v:imagedata r:id="rId10" o:title=""/>
              </v:shape>
            </w:pict>
          </mc:Fallback>
        </mc:AlternateContent>
      </w:r>
    </w:p>
    <w:tbl>
      <w:tblPr>
        <w:tblStyle w:val="Tabellenraster"/>
        <w:tblW w:w="9072" w:type="dxa"/>
        <w:tblInd w:w="-5" w:type="dxa"/>
        <w:tblLook w:val="04A0" w:firstRow="1" w:lastRow="0" w:firstColumn="1" w:lastColumn="0" w:noHBand="0" w:noVBand="1"/>
      </w:tblPr>
      <w:tblGrid>
        <w:gridCol w:w="4931"/>
        <w:gridCol w:w="4141"/>
      </w:tblGrid>
      <w:tr w:rsidR="003277B4" w14:paraId="33543AA3" w14:textId="77777777" w:rsidTr="005547C6">
        <w:tc>
          <w:tcPr>
            <w:tcW w:w="9072" w:type="dxa"/>
            <w:gridSpan w:val="2"/>
          </w:tcPr>
          <w:p w14:paraId="2FD3ADB9" w14:textId="67E372AF" w:rsidR="00963893" w:rsidRPr="00391358" w:rsidRDefault="00DF7FEC" w:rsidP="009C40D6">
            <w:pPr>
              <w:pStyle w:val="Funotentext"/>
              <w:spacing w:before="240"/>
              <w:rPr>
                <w:sz w:val="24"/>
                <w:szCs w:val="24"/>
              </w:rPr>
            </w:pPr>
            <w:r>
              <w:rPr>
                <w:noProof/>
                <w:sz w:val="24"/>
                <w:szCs w:val="24"/>
              </w:rPr>
              <mc:AlternateContent>
                <mc:Choice Requires="wpi">
                  <w:drawing>
                    <wp:anchor distT="0" distB="0" distL="114300" distR="114300" simplePos="0" relativeHeight="251667456" behindDoc="0" locked="0" layoutInCell="1" allowOverlap="1" wp14:anchorId="594C1ADA" wp14:editId="65E4B18A">
                      <wp:simplePos x="0" y="0"/>
                      <wp:positionH relativeFrom="column">
                        <wp:posOffset>5670565</wp:posOffset>
                      </wp:positionH>
                      <wp:positionV relativeFrom="paragraph">
                        <wp:posOffset>15605</wp:posOffset>
                      </wp:positionV>
                      <wp:extent cx="19440" cy="1019520"/>
                      <wp:effectExtent l="57150" t="57150" r="57150" b="47625"/>
                      <wp:wrapNone/>
                      <wp:docPr id="2025115318" name="Freihand 22"/>
                      <wp:cNvGraphicFramePr/>
                      <a:graphic xmlns:a="http://schemas.openxmlformats.org/drawingml/2006/main">
                        <a:graphicData uri="http://schemas.microsoft.com/office/word/2010/wordprocessingInk">
                          <w14:contentPart bwMode="auto" r:id="rId11">
                            <w14:nvContentPartPr>
                              <w14:cNvContentPartPr/>
                            </w14:nvContentPartPr>
                            <w14:xfrm>
                              <a:off x="0" y="0"/>
                              <a:ext cx="19440" cy="1019520"/>
                            </w14:xfrm>
                          </w14:contentPart>
                        </a:graphicData>
                      </a:graphic>
                    </wp:anchor>
                  </w:drawing>
                </mc:Choice>
                <mc:Fallback>
                  <w:pict>
                    <v:shape w14:anchorId="28BBB9A7" id="Freihand 22" o:spid="_x0000_s1026" type="#_x0000_t75" style="position:absolute;margin-left:445.8pt;margin-top:.55pt;width:2.95pt;height:81.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&#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">
                      <v:imagedata r:id="rId12" o:title=""/>
                    </v:shape>
                  </w:pict>
                </mc:Fallback>
              </mc:AlternateContent>
            </w:r>
            <w:r w:rsidR="005547C6">
              <w:rPr>
                <w:noProof/>
                <w:sz w:val="24"/>
                <w:szCs w:val="24"/>
              </w:rPr>
              <mc:AlternateContent>
                <mc:Choice Requires="wpi">
                  <w:drawing>
                    <wp:anchor distT="0" distB="0" distL="114300" distR="114300" simplePos="0" relativeHeight="251663360" behindDoc="0" locked="0" layoutInCell="1" allowOverlap="1" wp14:anchorId="6EFEC934" wp14:editId="2190B2EB">
                      <wp:simplePos x="0" y="0"/>
                      <wp:positionH relativeFrom="column">
                        <wp:posOffset>-73235</wp:posOffset>
                      </wp:positionH>
                      <wp:positionV relativeFrom="paragraph">
                        <wp:posOffset>15605</wp:posOffset>
                      </wp:positionV>
                      <wp:extent cx="10080" cy="25920"/>
                      <wp:effectExtent l="57150" t="57150" r="47625" b="50800"/>
                      <wp:wrapNone/>
                      <wp:docPr id="663846818" name="Freihand 15"/>
                      <wp:cNvGraphicFramePr/>
                      <a:graphic xmlns:a="http://schemas.openxmlformats.org/drawingml/2006/main">
                        <a:graphicData uri="http://schemas.microsoft.com/office/word/2010/wordprocessingInk">
                          <w14:contentPart bwMode="auto" r:id="rId13">
                            <w14:nvContentPartPr>
                              <w14:cNvContentPartPr/>
                            </w14:nvContentPartPr>
                            <w14:xfrm>
                              <a:off x="0" y="0"/>
                              <a:ext cx="10080" cy="25920"/>
                            </w14:xfrm>
                          </w14:contentPart>
                        </a:graphicData>
                      </a:graphic>
                    </wp:anchor>
                  </w:drawing>
                </mc:Choice>
                <mc:Fallback>
                  <w:pict>
                    <v:shape w14:anchorId="43387E89" id="Freihand 15" o:spid="_x0000_s1026" type="#_x0000_t75" style="position:absolute;margin-left:-6.45pt;margin-top:.55pt;width:2.25pt;height:3.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">
                      <v:imagedata r:id="rId14" o:title=""/>
                    </v:shape>
                  </w:pict>
                </mc:Fallback>
              </mc:AlternateContent>
            </w:r>
            <w:r w:rsidR="00963893" w:rsidRPr="00391358">
              <w:rPr>
                <w:sz w:val="24"/>
                <w:szCs w:val="24"/>
              </w:rPr>
              <w:t>Ist bei der Übermittlung des Angebots / Teilnahmeantrags der Vordruck nicht untersch</w:t>
            </w:r>
            <w:r w:rsidR="00D54400">
              <w:rPr>
                <w:sz w:val="24"/>
                <w:szCs w:val="24"/>
              </w:rPr>
              <w:t>r</w:t>
            </w:r>
            <w:r w:rsidR="00963893" w:rsidRPr="00391358">
              <w:rPr>
                <w:sz w:val="24"/>
                <w:szCs w:val="24"/>
              </w:rPr>
              <w:t>ieben bzw. signiert / mit elektronischem Siegel versehen, wird das Angebot von dem Verfahren ausgeschlossen.</w:t>
            </w:r>
          </w:p>
          <w:p w14:paraId="652764D5" w14:textId="6C0FCAF7" w:rsidR="00963893" w:rsidRPr="00391358" w:rsidRDefault="00963893" w:rsidP="009C40D6">
            <w:pPr>
              <w:pStyle w:val="Funotentext"/>
              <w:spacing w:before="240"/>
              <w:rPr>
                <w:sz w:val="24"/>
                <w:szCs w:val="24"/>
              </w:rPr>
            </w:pPr>
          </w:p>
        </w:tc>
      </w:tr>
      <w:tr w:rsidR="00B71A58" w14:paraId="2BD415FA"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46"/>
        </w:trPr>
        <w:tc>
          <w:tcPr>
            <w:tcW w:w="4931" w:type="dxa"/>
          </w:tcPr>
          <w:p w14:paraId="5F1EBBF1" w14:textId="5A55C8C3" w:rsidR="00963893" w:rsidRDefault="00391358" w:rsidP="00973CCD">
            <w:pPr>
              <w:spacing w:before="240"/>
            </w:pPr>
            <w:r>
              <w:rPr>
                <w:noProof/>
              </w:rPr>
              <mc:AlternateContent>
                <mc:Choice Requires="wpi">
                  <w:drawing>
                    <wp:anchor distT="0" distB="0" distL="114300" distR="114300" simplePos="0" relativeHeight="251662336" behindDoc="0" locked="0" layoutInCell="1" allowOverlap="1" wp14:anchorId="2803CA1E" wp14:editId="37A73EC1">
                      <wp:simplePos x="0" y="0"/>
                      <wp:positionH relativeFrom="column">
                        <wp:posOffset>-54155</wp:posOffset>
                      </wp:positionH>
                      <wp:positionV relativeFrom="paragraph">
                        <wp:posOffset>3855</wp:posOffset>
                      </wp:positionV>
                      <wp:extent cx="5734080" cy="9720"/>
                      <wp:effectExtent l="57150" t="57150" r="57150" b="47625"/>
                      <wp:wrapNone/>
                      <wp:docPr id="1467575706" name="Freihand 4"/>
                      <wp:cNvGraphicFramePr/>
                      <a:graphic xmlns:a="http://schemas.openxmlformats.org/drawingml/2006/main">
                        <a:graphicData uri="http://schemas.microsoft.com/office/word/2010/wordprocessingInk">
                          <w14:contentPart bwMode="auto" r:id="rId15">
                            <w14:nvContentPartPr>
                              <w14:cNvContentPartPr/>
                            </w14:nvContentPartPr>
                            <w14:xfrm>
                              <a:off x="0" y="0"/>
                              <a:ext cx="5734080" cy="9720"/>
                            </w14:xfrm>
                          </w14:contentPart>
                        </a:graphicData>
                      </a:graphic>
                    </wp:anchor>
                  </w:drawing>
                </mc:Choice>
                <mc:Fallback>
                  <w:pict>
                    <v:shape w14:anchorId="53A4926F" id="Freihand 4" o:spid="_x0000_s1026" type="#_x0000_t75" style="position:absolute;margin-left:-4.95pt;margin-top:-.4pt;width:452.9pt;height: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">
                      <v:imagedata r:id="rId16" o:title=""/>
                    </v:shape>
                  </w:pict>
                </mc:Fallback>
              </mc:AlternateContent>
            </w:r>
          </w:p>
          <w:p w14:paraId="6BD04077" w14:textId="391CEF9B" w:rsidR="00B71A58" w:rsidRDefault="00B71A58" w:rsidP="00973CCD">
            <w:pPr>
              <w:spacing w:before="240"/>
            </w:pPr>
            <w:r>
              <w:t xml:space="preserve">Datum: </w:t>
            </w:r>
          </w:p>
        </w:tc>
      </w:tr>
      <w:tr w:rsidR="00B71A58" w14:paraId="1E54F03B"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1076"/>
        </w:trPr>
        <w:tc>
          <w:tcPr>
            <w:tcW w:w="4931" w:type="dxa"/>
          </w:tcPr>
          <w:p w14:paraId="025BD9E9" w14:textId="77777777" w:rsidR="00B71A58" w:rsidRDefault="00B71A58" w:rsidP="00973CCD">
            <w:pPr>
              <w:spacing w:before="240"/>
            </w:pPr>
          </w:p>
        </w:tc>
      </w:tr>
      <w:tr w:rsidR="00B71A58" w14:paraId="53A0ED8D"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29"/>
        </w:trPr>
        <w:tc>
          <w:tcPr>
            <w:tcW w:w="4931" w:type="dxa"/>
          </w:tcPr>
          <w:p w14:paraId="3B90C2A1" w14:textId="733F56B8" w:rsidR="00B71A58" w:rsidRDefault="00B71A58" w:rsidP="00973CCD">
            <w:pPr>
              <w:spacing w:before="240"/>
            </w:pPr>
            <w:r>
              <w:t xml:space="preserve">Unterschrift / Firmenstempel </w:t>
            </w:r>
          </w:p>
        </w:tc>
      </w:tr>
    </w:tbl>
    <w:p w14:paraId="17D3D304" w14:textId="77777777" w:rsidR="005A74DB" w:rsidRDefault="005A74DB" w:rsidP="00973CCD">
      <w:pPr>
        <w:spacing w:before="240"/>
        <w:ind w:left="142"/>
        <w:contextualSpacing/>
      </w:pPr>
    </w:p>
    <w:p w14:paraId="503312C0" w14:textId="77777777" w:rsidR="00F1607B" w:rsidRDefault="00F1607B" w:rsidP="002A6F4C">
      <w:pPr>
        <w:pBdr>
          <w:between w:val="single" w:sz="4" w:space="1" w:color="auto"/>
        </w:pBdr>
      </w:pPr>
    </w:p>
    <w:sectPr w:rsidR="00F1607B">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B452" w14:textId="77777777" w:rsidR="00595BA6" w:rsidRDefault="00595BA6" w:rsidP="008079EE">
      <w:pPr>
        <w:spacing w:after="0" w:line="240" w:lineRule="auto"/>
      </w:pPr>
      <w:r>
        <w:separator/>
      </w:r>
    </w:p>
  </w:endnote>
  <w:endnote w:type="continuationSeparator" w:id="0">
    <w:p w14:paraId="55B7FE23" w14:textId="77777777" w:rsidR="00595BA6" w:rsidRDefault="00595BA6" w:rsidP="00807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166" w14:textId="16470D76" w:rsidR="00575D88" w:rsidRPr="00575D88" w:rsidRDefault="002D4CD3" w:rsidP="002D4CD3">
    <w:pPr>
      <w:pStyle w:val="Fuzeile"/>
      <w:rPr>
        <w:sz w:val="18"/>
        <w:szCs w:val="18"/>
      </w:rPr>
    </w:pPr>
    <w:r>
      <w:rPr>
        <w:sz w:val="18"/>
        <w:szCs w:val="18"/>
      </w:rPr>
      <w:t xml:space="preserve">01/2026 </w:t>
    </w:r>
    <w:hyperlink r:id="rId1" w:history="1">
      <w:r w:rsidRPr="001F5622">
        <w:rPr>
          <w:rStyle w:val="Hyperlink"/>
          <w:sz w:val="18"/>
          <w:szCs w:val="18"/>
        </w:rPr>
        <w:t>vergabe@schleiden.de</w:t>
      </w:r>
    </w:hyperlink>
    <w:r>
      <w:rPr>
        <w:sz w:val="18"/>
        <w:szCs w:val="18"/>
      </w:rPr>
      <w:t xml:space="preserve"> </w:t>
    </w:r>
    <w:r>
      <w:rPr>
        <w:sz w:val="18"/>
        <w:szCs w:val="18"/>
      </w:rPr>
      <w:tab/>
    </w:r>
    <w:r w:rsidR="00575D88" w:rsidRPr="00575D88">
      <w:rPr>
        <w:sz w:val="18"/>
        <w:szCs w:val="18"/>
      </w:rPr>
      <w:t xml:space="preserve">Seite </w:t>
    </w:r>
    <w:r w:rsidR="00575D88" w:rsidRPr="00575D88">
      <w:rPr>
        <w:sz w:val="18"/>
        <w:szCs w:val="18"/>
      </w:rPr>
      <w:fldChar w:fldCharType="begin"/>
    </w:r>
    <w:r w:rsidR="00575D88" w:rsidRPr="00575D88">
      <w:rPr>
        <w:sz w:val="18"/>
        <w:szCs w:val="18"/>
      </w:rPr>
      <w:instrText>PAGE  \* Arabic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r w:rsidR="00575D88" w:rsidRPr="00575D88">
      <w:rPr>
        <w:sz w:val="18"/>
        <w:szCs w:val="18"/>
      </w:rPr>
      <w:t xml:space="preserve"> von </w:t>
    </w:r>
    <w:r w:rsidR="00575D88" w:rsidRPr="00575D88">
      <w:rPr>
        <w:sz w:val="18"/>
        <w:szCs w:val="18"/>
      </w:rPr>
      <w:fldChar w:fldCharType="begin"/>
    </w:r>
    <w:r w:rsidR="00575D88" w:rsidRPr="00575D88">
      <w:rPr>
        <w:sz w:val="18"/>
        <w:szCs w:val="18"/>
      </w:rPr>
      <w:instrText>NUMPAGES \* Arabisch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p>
  <w:p w14:paraId="64725228" w14:textId="77777777" w:rsidR="00575D88" w:rsidRDefault="00575D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34E55" w14:textId="77777777" w:rsidR="00595BA6" w:rsidRDefault="00595BA6" w:rsidP="008079EE">
      <w:pPr>
        <w:spacing w:after="0" w:line="240" w:lineRule="auto"/>
      </w:pPr>
      <w:r>
        <w:separator/>
      </w:r>
    </w:p>
  </w:footnote>
  <w:footnote w:type="continuationSeparator" w:id="0">
    <w:p w14:paraId="4FA77AB2" w14:textId="77777777" w:rsidR="00595BA6" w:rsidRDefault="00595BA6" w:rsidP="008079EE">
      <w:pPr>
        <w:spacing w:after="0" w:line="240" w:lineRule="auto"/>
      </w:pPr>
      <w:r>
        <w:continuationSeparator/>
      </w:r>
    </w:p>
  </w:footnote>
  <w:footnote w:id="1">
    <w:p w14:paraId="1234B337" w14:textId="77777777" w:rsidR="00973CCD" w:rsidRPr="00973CCD" w:rsidRDefault="00973CCD" w:rsidP="00973CCD">
      <w:pPr>
        <w:pStyle w:val="Funotentext"/>
        <w:rPr>
          <w:sz w:val="18"/>
          <w:szCs w:val="18"/>
        </w:rPr>
      </w:pPr>
      <w:r>
        <w:rPr>
          <w:rStyle w:val="Funotenzeichen"/>
        </w:rPr>
        <w:footnoteRef/>
      </w:r>
      <w:r>
        <w:t xml:space="preserve"> </w:t>
      </w:r>
      <w:r w:rsidRPr="00973CCD">
        <w:rPr>
          <w:sz w:val="18"/>
          <w:szCs w:val="18"/>
        </w:rPr>
        <w:t>Ein Eintrag erfolgt bei einer Verfehlung im Sinne des § 5 Absatzes 1 Nummer 1 bis 5 KorruptionsbG</w:t>
      </w:r>
    </w:p>
    <w:p w14:paraId="0ACBEF52" w14:textId="77777777" w:rsidR="00973CCD" w:rsidRPr="00973CCD" w:rsidRDefault="00973CCD" w:rsidP="00973CCD">
      <w:pPr>
        <w:pStyle w:val="Funotentext"/>
        <w:rPr>
          <w:sz w:val="18"/>
          <w:szCs w:val="18"/>
        </w:rPr>
      </w:pPr>
      <w:r w:rsidRPr="00973CCD">
        <w:rPr>
          <w:sz w:val="18"/>
          <w:szCs w:val="18"/>
        </w:rPr>
        <w:t>1. bei Zulassung der Anklage,</w:t>
      </w:r>
    </w:p>
    <w:p w14:paraId="4CA8D052" w14:textId="77777777" w:rsidR="00973CCD" w:rsidRPr="00973CCD" w:rsidRDefault="00973CCD" w:rsidP="00973CCD">
      <w:pPr>
        <w:pStyle w:val="Funotentext"/>
        <w:rPr>
          <w:sz w:val="18"/>
          <w:szCs w:val="18"/>
        </w:rPr>
      </w:pPr>
      <w:r w:rsidRPr="00973CCD">
        <w:rPr>
          <w:sz w:val="18"/>
          <w:szCs w:val="18"/>
        </w:rPr>
        <w:t>2. bei strafrechtlicher Verurteilung,</w:t>
      </w:r>
    </w:p>
    <w:p w14:paraId="034CBA48" w14:textId="77777777" w:rsidR="00973CCD" w:rsidRPr="00973CCD" w:rsidRDefault="00973CCD" w:rsidP="00973CCD">
      <w:pPr>
        <w:pStyle w:val="Funotentext"/>
        <w:rPr>
          <w:sz w:val="18"/>
          <w:szCs w:val="18"/>
        </w:rPr>
      </w:pPr>
      <w:r w:rsidRPr="00973CCD">
        <w:rPr>
          <w:sz w:val="18"/>
          <w:szCs w:val="18"/>
        </w:rPr>
        <w:t>3. bei Erlass eines Strafbefehls,</w:t>
      </w:r>
    </w:p>
    <w:p w14:paraId="319315B4" w14:textId="77777777" w:rsidR="00973CCD" w:rsidRPr="00973CCD" w:rsidRDefault="00973CCD" w:rsidP="00973CCD">
      <w:pPr>
        <w:pStyle w:val="Funotentext"/>
        <w:rPr>
          <w:sz w:val="18"/>
          <w:szCs w:val="18"/>
        </w:rPr>
      </w:pPr>
      <w:r w:rsidRPr="00973CCD">
        <w:rPr>
          <w:sz w:val="18"/>
          <w:szCs w:val="18"/>
        </w:rPr>
        <w:t>4. bei Einstellung des Strafverfahrens nach § 153a Strafprozessordnung (StPO),</w:t>
      </w:r>
    </w:p>
    <w:p w14:paraId="72B4610C" w14:textId="77777777" w:rsidR="00973CCD" w:rsidRPr="00973CCD" w:rsidRDefault="00973CCD" w:rsidP="00973CCD">
      <w:pPr>
        <w:pStyle w:val="Funotentext"/>
        <w:rPr>
          <w:sz w:val="18"/>
          <w:szCs w:val="18"/>
        </w:rPr>
      </w:pPr>
      <w:r w:rsidRPr="00973CCD">
        <w:rPr>
          <w:sz w:val="18"/>
          <w:szCs w:val="18"/>
        </w:rPr>
        <w:t>5. nach Rechtskraft eines Bußgeldbescheids oder</w:t>
      </w:r>
    </w:p>
    <w:p w14:paraId="0CFC0538" w14:textId="77777777" w:rsidR="00973CCD" w:rsidRPr="00973CCD" w:rsidRDefault="00973CCD" w:rsidP="00973CCD">
      <w:pPr>
        <w:pStyle w:val="Funotentext"/>
        <w:rPr>
          <w:sz w:val="18"/>
          <w:szCs w:val="18"/>
        </w:rPr>
      </w:pPr>
      <w:r w:rsidRPr="00973CCD">
        <w:rPr>
          <w:sz w:val="18"/>
          <w:szCs w:val="18"/>
        </w:rPr>
        <w:t>6. für die Dauer der Durchführung eines Straf- oder Bußgeldverfahrens, wenn im Einzelfall</w:t>
      </w:r>
    </w:p>
    <w:p w14:paraId="3B60F290" w14:textId="77777777" w:rsidR="00973CCD" w:rsidRPr="00973CCD" w:rsidRDefault="00973CCD" w:rsidP="00973CCD">
      <w:pPr>
        <w:pStyle w:val="Funotentext"/>
        <w:rPr>
          <w:sz w:val="18"/>
          <w:szCs w:val="18"/>
        </w:rPr>
      </w:pPr>
      <w:r w:rsidRPr="00973CCD">
        <w:rPr>
          <w:sz w:val="18"/>
          <w:szCs w:val="18"/>
        </w:rPr>
        <w:t>angesichts der Beweislage bei der meldenden Stelle kein vernünftiger Zweifel an einer</w:t>
      </w:r>
    </w:p>
    <w:p w14:paraId="11464127" w14:textId="77777777" w:rsidR="00973CCD" w:rsidRPr="00973CCD" w:rsidRDefault="00973CCD" w:rsidP="00973CCD">
      <w:pPr>
        <w:pStyle w:val="Funotentext"/>
        <w:rPr>
          <w:sz w:val="18"/>
          <w:szCs w:val="18"/>
        </w:rPr>
      </w:pPr>
      <w:r w:rsidRPr="00973CCD">
        <w:rPr>
          <w:sz w:val="18"/>
          <w:szCs w:val="18"/>
        </w:rPr>
        <w:t>schwerwiegenden Verfehlung besteht, und die Ermittlungs- bzw. die für das Bußgeldverfahren</w:t>
      </w:r>
    </w:p>
    <w:p w14:paraId="4F3E298B" w14:textId="77777777" w:rsidR="00973CCD" w:rsidRPr="00973CCD" w:rsidRDefault="00973CCD" w:rsidP="00973CCD">
      <w:pPr>
        <w:pStyle w:val="Funotentext"/>
        <w:rPr>
          <w:sz w:val="18"/>
          <w:szCs w:val="18"/>
        </w:rPr>
      </w:pPr>
      <w:r w:rsidRPr="00973CCD">
        <w:rPr>
          <w:sz w:val="18"/>
          <w:szCs w:val="18"/>
        </w:rPr>
        <w:t>zuständige Verwaltungsbehörde den Ermittlungszweck nicht gefährdet sieht.</w:t>
      </w:r>
    </w:p>
    <w:p w14:paraId="290C3E1D" w14:textId="2281B34D" w:rsidR="00973CCD" w:rsidRPr="00973CCD" w:rsidRDefault="00973CCD" w:rsidP="00973CCD">
      <w:pPr>
        <w:pStyle w:val="Funotentext"/>
        <w:rPr>
          <w:sz w:val="18"/>
          <w:szCs w:val="18"/>
        </w:rPr>
      </w:pPr>
      <w:r w:rsidRPr="00973CCD">
        <w:rPr>
          <w:sz w:val="18"/>
          <w:szCs w:val="18"/>
        </w:rPr>
        <w:t>Ein Eintrag im Sinne des § 5 Absatzes 1 Nummer 6 KorruptionsbG richtet sich nach §§ 13 Absatz3, 16 Absatz 4 Satz 2 und 3 Tariftreue- und Vergabegesetz Nordrhein-West</w:t>
      </w:r>
      <w:r w:rsidR="006F7E00">
        <w:rPr>
          <w:sz w:val="18"/>
          <w:szCs w:val="18"/>
        </w:rPr>
        <w:t>fallen</w:t>
      </w:r>
    </w:p>
    <w:p w14:paraId="2F8EB24B" w14:textId="55B7B141" w:rsidR="00973CCD" w:rsidRPr="00973CCD" w:rsidRDefault="00973CCD" w:rsidP="00973CCD">
      <w:pPr>
        <w:pStyle w:val="Funotentext"/>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1EE70" w14:textId="55304104" w:rsidR="008079EE" w:rsidRPr="008079EE" w:rsidRDefault="008079EE" w:rsidP="008079EE">
    <w:pPr>
      <w:pStyle w:val="Kopfzeile"/>
      <w:jc w:val="right"/>
      <w:rPr>
        <w:b/>
        <w:bCs/>
      </w:rPr>
    </w:pPr>
    <w:r>
      <w:tab/>
    </w:r>
    <w:r w:rsidRPr="008079EE">
      <w:rPr>
        <w:b/>
        <w:bCs/>
      </w:rPr>
      <w:t>Eigenerklärung Zuverlässigkeit gemäß KorruptionsbG NRW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v9CP9UmPWoSKK2bspFFWtZHC1wkid3TL3dfvp2FD4PESBUYDHyP0xlfxxTw2GWSjSOlWXSxKeDyr/ajr1GJ4cw==" w:salt="skiJ/gNMoc49vsTxOBy/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7B"/>
    <w:rsid w:val="002A6F4C"/>
    <w:rsid w:val="002D4CD3"/>
    <w:rsid w:val="00302433"/>
    <w:rsid w:val="003277B4"/>
    <w:rsid w:val="00391358"/>
    <w:rsid w:val="00453061"/>
    <w:rsid w:val="00486D38"/>
    <w:rsid w:val="005547C6"/>
    <w:rsid w:val="00575D88"/>
    <w:rsid w:val="00576879"/>
    <w:rsid w:val="00595BA6"/>
    <w:rsid w:val="005A74DB"/>
    <w:rsid w:val="005D33AF"/>
    <w:rsid w:val="006F7E00"/>
    <w:rsid w:val="007009E3"/>
    <w:rsid w:val="00780CCB"/>
    <w:rsid w:val="008079EE"/>
    <w:rsid w:val="00841A8C"/>
    <w:rsid w:val="00935138"/>
    <w:rsid w:val="00963893"/>
    <w:rsid w:val="00973CCD"/>
    <w:rsid w:val="00A2258B"/>
    <w:rsid w:val="00B60CC3"/>
    <w:rsid w:val="00B71A58"/>
    <w:rsid w:val="00B72201"/>
    <w:rsid w:val="00BA239F"/>
    <w:rsid w:val="00C13E02"/>
    <w:rsid w:val="00C668DF"/>
    <w:rsid w:val="00C70B1F"/>
    <w:rsid w:val="00C93AD9"/>
    <w:rsid w:val="00CE4F31"/>
    <w:rsid w:val="00D54400"/>
    <w:rsid w:val="00DA36DB"/>
    <w:rsid w:val="00DF6B5F"/>
    <w:rsid w:val="00DF7FEC"/>
    <w:rsid w:val="00F1607B"/>
    <w:rsid w:val="00F330DD"/>
    <w:rsid w:val="00F35549"/>
    <w:rsid w:val="00FE4D7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6B1C"/>
  <w15:chartTrackingRefBased/>
  <w15:docId w15:val="{705C3050-5CCA-4FEF-8FD0-8FDC13CD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607B"/>
  </w:style>
  <w:style w:type="paragraph" w:styleId="berschrift1">
    <w:name w:val="heading 1"/>
    <w:basedOn w:val="Standard"/>
    <w:next w:val="Standard"/>
    <w:link w:val="berschrift1Zchn"/>
    <w:uiPriority w:val="9"/>
    <w:qFormat/>
    <w:rsid w:val="00F16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6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60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60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607B"/>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607B"/>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607B"/>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607B"/>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607B"/>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607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607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607B"/>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607B"/>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607B"/>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607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607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607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607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6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1607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1607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607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607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607B"/>
    <w:rPr>
      <w:i/>
      <w:iCs/>
      <w:color w:val="404040" w:themeColor="text1" w:themeTint="BF"/>
    </w:rPr>
  </w:style>
  <w:style w:type="paragraph" w:styleId="Listenabsatz">
    <w:name w:val="List Paragraph"/>
    <w:basedOn w:val="Standard"/>
    <w:uiPriority w:val="34"/>
    <w:qFormat/>
    <w:rsid w:val="00F1607B"/>
    <w:pPr>
      <w:ind w:left="720"/>
      <w:contextualSpacing/>
    </w:pPr>
  </w:style>
  <w:style w:type="character" w:styleId="IntensiveHervorhebung">
    <w:name w:val="Intense Emphasis"/>
    <w:basedOn w:val="Absatz-Standardschriftart"/>
    <w:uiPriority w:val="21"/>
    <w:qFormat/>
    <w:rsid w:val="00F1607B"/>
    <w:rPr>
      <w:i/>
      <w:iCs/>
      <w:color w:val="0F4761" w:themeColor="accent1" w:themeShade="BF"/>
    </w:rPr>
  </w:style>
  <w:style w:type="paragraph" w:styleId="IntensivesZitat">
    <w:name w:val="Intense Quote"/>
    <w:basedOn w:val="Standard"/>
    <w:next w:val="Standard"/>
    <w:link w:val="IntensivesZitatZchn"/>
    <w:uiPriority w:val="30"/>
    <w:qFormat/>
    <w:rsid w:val="00F16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607B"/>
    <w:rPr>
      <w:i/>
      <w:iCs/>
      <w:color w:val="0F4761" w:themeColor="accent1" w:themeShade="BF"/>
    </w:rPr>
  </w:style>
  <w:style w:type="character" w:styleId="IntensiverVerweis">
    <w:name w:val="Intense Reference"/>
    <w:basedOn w:val="Absatz-Standardschriftart"/>
    <w:uiPriority w:val="32"/>
    <w:qFormat/>
    <w:rsid w:val="00F1607B"/>
    <w:rPr>
      <w:b/>
      <w:bCs/>
      <w:smallCaps/>
      <w:color w:val="0F4761" w:themeColor="accent1" w:themeShade="BF"/>
      <w:spacing w:val="5"/>
    </w:rPr>
  </w:style>
  <w:style w:type="table" w:styleId="Tabellenraster">
    <w:name w:val="Table Grid"/>
    <w:basedOn w:val="NormaleTabelle"/>
    <w:uiPriority w:val="39"/>
    <w:rsid w:val="00F16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079E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EE"/>
  </w:style>
  <w:style w:type="paragraph" w:styleId="Fuzeile">
    <w:name w:val="footer"/>
    <w:basedOn w:val="Standard"/>
    <w:link w:val="FuzeileZchn"/>
    <w:uiPriority w:val="99"/>
    <w:unhideWhenUsed/>
    <w:rsid w:val="008079E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EE"/>
  </w:style>
  <w:style w:type="paragraph" w:styleId="Funotentext">
    <w:name w:val="footnote text"/>
    <w:basedOn w:val="Standard"/>
    <w:link w:val="FunotentextZchn"/>
    <w:uiPriority w:val="99"/>
    <w:unhideWhenUsed/>
    <w:rsid w:val="00DF6B5F"/>
    <w:pPr>
      <w:spacing w:after="0" w:line="240" w:lineRule="auto"/>
    </w:pPr>
    <w:rPr>
      <w:sz w:val="20"/>
      <w:szCs w:val="20"/>
    </w:rPr>
  </w:style>
  <w:style w:type="character" w:customStyle="1" w:styleId="FunotentextZchn">
    <w:name w:val="Fußnotentext Zchn"/>
    <w:basedOn w:val="Absatz-Standardschriftart"/>
    <w:link w:val="Funotentext"/>
    <w:uiPriority w:val="99"/>
    <w:rsid w:val="00DF6B5F"/>
    <w:rPr>
      <w:sz w:val="20"/>
      <w:szCs w:val="20"/>
    </w:rPr>
  </w:style>
  <w:style w:type="character" w:styleId="Funotenzeichen">
    <w:name w:val="footnote reference"/>
    <w:basedOn w:val="Absatz-Standardschriftart"/>
    <w:uiPriority w:val="99"/>
    <w:semiHidden/>
    <w:unhideWhenUsed/>
    <w:rsid w:val="00DF6B5F"/>
    <w:rPr>
      <w:vertAlign w:val="superscript"/>
    </w:rPr>
  </w:style>
  <w:style w:type="character" w:styleId="Hyperlink">
    <w:name w:val="Hyperlink"/>
    <w:basedOn w:val="Absatz-Standardschriftart"/>
    <w:uiPriority w:val="99"/>
    <w:unhideWhenUsed/>
    <w:rsid w:val="002D4CD3"/>
    <w:rPr>
      <w:color w:val="467886" w:themeColor="hyperlink"/>
      <w:u w:val="single"/>
    </w:rPr>
  </w:style>
  <w:style w:type="character" w:styleId="NichtaufgelsteErwhnung">
    <w:name w:val="Unresolved Mention"/>
    <w:basedOn w:val="Absatz-Standardschriftart"/>
    <w:uiPriority w:val="99"/>
    <w:semiHidden/>
    <w:unhideWhenUsed/>
    <w:rsid w:val="002D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vergabe@schleiden.de"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4.913"/>
    </inkml:context>
    <inkml:brush xml:id="br0">
      <inkml:brushProperty name="width" value="0.05" units="cm"/>
      <inkml:brushProperty name="height" value="0.05" units="cm"/>
      <inkml:brushProperty name="color" value="#E71224"/>
    </inkml:brush>
  </inkml:definitions>
  <inkml:trace contextRef="#ctx0" brushRef="#br0">0 0 24309,'0'2804'0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38.807"/>
    </inkml:context>
    <inkml:brush xml:id="br0">
      <inkml:brushProperty name="width" value="0.05" units="cm"/>
      <inkml:brushProperty name="height" value="0.05" units="cm"/>
      <inkml:brushProperty name="color" value="#E71224"/>
    </inkml:brush>
  </inkml:definitions>
  <inkml:trace contextRef="#ctx0" brushRef="#br0">0 0 24338,'15982'0'0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6:21.308"/>
    </inkml:context>
    <inkml:brush xml:id="br0">
      <inkml:brushProperty name="width" value="0.05" units="cm"/>
      <inkml:brushProperty name="height" value="0.05" units="cm"/>
      <inkml:brushProperty name="color" value="#E71224"/>
    </inkml:brush>
  </inkml:definitions>
  <inkml:trace contextRef="#ctx0" brushRef="#br0">53 0 24019,'-53'2831'0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1.897"/>
    </inkml:context>
    <inkml:brush xml:id="br0">
      <inkml:brushProperty name="width" value="0.05" units="cm"/>
      <inkml:brushProperty name="height" value="0.05" units="cm"/>
      <inkml:brushProperty name="color" value="#E71224"/>
    </inkml:brush>
  </inkml:definitions>
  <inkml:trace contextRef="#ctx0" brushRef="#br0">27 0 24575,'0'5'0,"0"5"0,0 7 0,-4-1 0,-7-2 0,-1-4-8191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47.458"/>
    </inkml:context>
    <inkml:brush xml:id="br0">
      <inkml:brushProperty name="width" value="0.05" units="cm"/>
      <inkml:brushProperty name="height" value="0.05" units="cm"/>
      <inkml:brushProperty name="color" value="#E71224"/>
    </inkml:brush>
  </inkml:definitions>
  <inkml:trace contextRef="#ctx0" brushRef="#br0">0 0 24298,'15927'26'0</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59DC2-87E3-481E-B30D-0DAC7050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2026-07-30T12:27:00Z</dcterms:created>
  <dcterms:modified xsi:type="dcterms:W3CDTF">2026-07-30T12:27:00Z</dcterms:modified>
</cp:coreProperties>
</file>