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0C961E1F" w:rsidR="00DB0751" w:rsidRDefault="00DC149F" w:rsidP="00C10B85">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AB7ECA">
        <w:rPr>
          <w:rFonts w:ascii="Calibri" w:hAnsi="Calibri" w:cs="Calibri"/>
          <w:b/>
          <w:color w:val="2E74B5" w:themeColor="accent1" w:themeShade="BF"/>
          <w:szCs w:val="20"/>
        </w:rPr>
        <w:t>2026_05/0028</w:t>
      </w:r>
      <w:r w:rsidRPr="00AF1EE9">
        <w:rPr>
          <w:rFonts w:ascii="Calibri" w:hAnsi="Calibri" w:cs="Calibri"/>
          <w:b/>
          <w:color w:val="2E74B5" w:themeColor="accent1" w:themeShade="BF"/>
          <w:szCs w:val="20"/>
        </w:rPr>
        <w:fldChar w:fldCharType="end"/>
      </w:r>
    </w:p>
    <w:p w14:paraId="5CC4D19E" w14:textId="05200007"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 xml:space="preserve">Baumaßnahme: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AB7ECA">
        <w:rPr>
          <w:rFonts w:ascii="Calibri" w:hAnsi="Calibri" w:cs="Calibri"/>
          <w:b/>
          <w:noProof/>
          <w:color w:val="2E74B5" w:themeColor="accent1" w:themeShade="BF"/>
          <w:szCs w:val="20"/>
        </w:rPr>
        <w:t>Kläranlage Alsdorf-Bettendorf, Erneuerung Rechenanlage und Sandfang</w:t>
      </w:r>
      <w:r w:rsidRPr="00AF1EE9">
        <w:rPr>
          <w:rFonts w:ascii="Calibri" w:hAnsi="Calibri" w:cs="Calibri"/>
          <w:b/>
          <w:color w:val="2E74B5" w:themeColor="accent1" w:themeShade="BF"/>
          <w:szCs w:val="20"/>
        </w:rPr>
        <w:fldChar w:fldCharType="end"/>
      </w:r>
    </w:p>
    <w:p w14:paraId="05AA75AA" w14:textId="29602BBC" w:rsidR="00F74470" w:rsidRDefault="00F74470" w:rsidP="00C10B85">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AB7ECA">
        <w:rPr>
          <w:rFonts w:ascii="Calibri" w:hAnsi="Calibri" w:cs="Calibri"/>
          <w:b/>
          <w:color w:val="2E74B5" w:themeColor="accent1" w:themeShade="BF"/>
          <w:szCs w:val="20"/>
        </w:rPr>
        <w:t>Hochbau</w:t>
      </w:r>
      <w:r w:rsidR="00AB7ECA">
        <w:rPr>
          <w:rFonts w:ascii="Calibri" w:hAnsi="Calibri" w:cs="Calibri"/>
          <w:b/>
          <w:noProof/>
          <w:color w:val="2E74B5" w:themeColor="accent1" w:themeShade="BF"/>
          <w:szCs w:val="20"/>
        </w:rPr>
        <w:t xml:space="preserve"> </w:t>
      </w:r>
      <w:r w:rsidRPr="00AF1EE9">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AB7ECA">
        <w:rPr>
          <w:rFonts w:ascii="Calibri" w:hAnsi="Calibri" w:cs="Calibri"/>
          <w:sz w:val="20"/>
          <w:szCs w:val="20"/>
        </w:rPr>
      </w:r>
      <w:r w:rsidR="00AB7EC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eYuCcbWLmSlZTF+BfIWrYanmKSZuifoxjN4lLeEgR/qWc6m+n5ca87yUWj8AJmM2bTj9vxrXK1tOBkymuKHHVg==" w:salt="3Za3adGmnwMK+mEEPuz+b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B7ECA"/>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3004</Words>
  <Characters>18932</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Weisshoff, Manuela</cp:lastModifiedBy>
  <cp:revision>32</cp:revision>
  <dcterms:created xsi:type="dcterms:W3CDTF">2023-08-17T11:00:00Z</dcterms:created>
  <dcterms:modified xsi:type="dcterms:W3CDTF">2026-05-22T13:30:00Z</dcterms:modified>
</cp:coreProperties>
</file>